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E2" w:rsidRPr="00CB73D9" w:rsidRDefault="00491FE2" w:rsidP="00491FE2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sz w:val="24"/>
          <w:szCs w:val="24"/>
          <w:lang w:eastAsia="cs-CZ"/>
        </w:rPr>
      </w:pPr>
      <w:bookmarkStart w:id="0" w:name="_GoBack"/>
      <w:bookmarkEnd w:id="0"/>
      <w:r w:rsidRPr="00CB73D9">
        <w:rPr>
          <w:rFonts w:ascii="Arial" w:eastAsia="Times New Roman" w:hAnsi="Arial" w:cs="Arial"/>
          <w:i/>
          <w:sz w:val="24"/>
          <w:szCs w:val="24"/>
          <w:lang w:eastAsia="cs-CZ"/>
        </w:rPr>
        <w:t>Katedra správního práva a správní vědy</w:t>
      </w:r>
    </w:p>
    <w:p w:rsidR="00B433E4" w:rsidRPr="00CB73D9" w:rsidRDefault="00491FE2" w:rsidP="00B433E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 w:rsidRPr="00CB73D9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Klausurní práce </w:t>
      </w:r>
      <w:r w:rsidR="002F0C37" w:rsidRPr="00CB73D9">
        <w:rPr>
          <w:rFonts w:ascii="Arial" w:eastAsia="Times New Roman" w:hAnsi="Arial" w:cs="Arial"/>
          <w:sz w:val="28"/>
          <w:szCs w:val="28"/>
          <w:u w:val="single"/>
          <w:lang w:eastAsia="cs-CZ"/>
        </w:rPr>
        <w:t>4</w:t>
      </w:r>
      <w:r w:rsidRPr="00CB73D9">
        <w:rPr>
          <w:rFonts w:ascii="Arial" w:eastAsia="Times New Roman" w:hAnsi="Arial" w:cs="Arial"/>
          <w:sz w:val="28"/>
          <w:szCs w:val="28"/>
          <w:u w:val="single"/>
          <w:lang w:eastAsia="cs-CZ"/>
        </w:rPr>
        <w:t>/201</w:t>
      </w:r>
      <w:r w:rsidR="00B433E4" w:rsidRPr="00CB73D9">
        <w:rPr>
          <w:rFonts w:ascii="Arial" w:eastAsia="Times New Roman" w:hAnsi="Arial" w:cs="Arial"/>
          <w:sz w:val="28"/>
          <w:szCs w:val="28"/>
          <w:u w:val="single"/>
          <w:lang w:eastAsia="cs-CZ"/>
        </w:rPr>
        <w:t>9</w:t>
      </w:r>
      <w:r w:rsidRPr="00CB73D9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CB73D9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CB73D9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CB73D9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CB73D9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CB73D9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CB73D9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      </w:t>
      </w:r>
      <w:r w:rsidR="002F0C37" w:rsidRPr="00CB73D9">
        <w:rPr>
          <w:rFonts w:ascii="Arial" w:eastAsia="Times New Roman" w:hAnsi="Arial" w:cs="Arial"/>
          <w:i/>
          <w:sz w:val="28"/>
          <w:szCs w:val="28"/>
          <w:lang w:eastAsia="cs-CZ"/>
        </w:rPr>
        <w:t>13</w:t>
      </w:r>
      <w:r w:rsidRPr="00CB73D9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. </w:t>
      </w:r>
      <w:r w:rsidR="002F0C37" w:rsidRPr="00CB73D9">
        <w:rPr>
          <w:rFonts w:ascii="Arial" w:eastAsia="Times New Roman" w:hAnsi="Arial" w:cs="Arial"/>
          <w:i/>
          <w:sz w:val="28"/>
          <w:szCs w:val="28"/>
          <w:lang w:eastAsia="cs-CZ"/>
        </w:rPr>
        <w:t>9</w:t>
      </w:r>
      <w:r w:rsidRPr="00CB73D9">
        <w:rPr>
          <w:rFonts w:ascii="Arial" w:eastAsia="Times New Roman" w:hAnsi="Arial" w:cs="Arial"/>
          <w:i/>
          <w:sz w:val="28"/>
          <w:szCs w:val="28"/>
          <w:lang w:eastAsia="cs-CZ"/>
        </w:rPr>
        <w:t>. 201</w:t>
      </w:r>
      <w:r w:rsidR="00B433E4" w:rsidRPr="00CB73D9">
        <w:rPr>
          <w:rFonts w:ascii="Arial" w:eastAsia="Times New Roman" w:hAnsi="Arial" w:cs="Arial"/>
          <w:i/>
          <w:sz w:val="28"/>
          <w:szCs w:val="28"/>
          <w:lang w:eastAsia="cs-CZ"/>
        </w:rPr>
        <w:t>9</w:t>
      </w:r>
    </w:p>
    <w:p w:rsidR="00B433E4" w:rsidRPr="00CB73D9" w:rsidRDefault="00B433E4" w:rsidP="00B433E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>Tři sestry Bára, Klára a Sára vyrazily v pondělí 1.7.</w:t>
      </w:r>
      <w:r w:rsidR="00EF1A3E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na výlet. Každá jela samostatně. Bára jela na nákup svým osobním automobilem. Klára jela za přítelem osobním automobilem svého otce, který je jeho provozovatelem. A Sára se jela projet osobním automobilem své matky, která je jeho provozovatelkou.</w:t>
      </w:r>
    </w:p>
    <w:p w:rsidR="00FD7F87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>Bára při jízdě překročila nejvyšší dovolenou rychlost</w:t>
      </w:r>
      <w:r w:rsidR="00181A01" w:rsidRPr="00CB73D9">
        <w:rPr>
          <w:rFonts w:ascii="Arial" w:hAnsi="Arial" w:cs="Arial"/>
          <w:sz w:val="24"/>
          <w:szCs w:val="24"/>
        </w:rPr>
        <w:t xml:space="preserve"> v obc</w:t>
      </w:r>
      <w:r w:rsidR="00BC34AA" w:rsidRPr="00CB73D9">
        <w:rPr>
          <w:rFonts w:ascii="Arial" w:hAnsi="Arial" w:cs="Arial"/>
          <w:sz w:val="24"/>
          <w:szCs w:val="24"/>
        </w:rPr>
        <w:t>i X</w:t>
      </w:r>
      <w:r w:rsid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 xml:space="preserve"> 50 km/h. Jela 55 km/h. Na okraji obce</w:t>
      </w:r>
      <w:r w:rsidR="00935C5B" w:rsidRPr="00CB73D9">
        <w:rPr>
          <w:rFonts w:ascii="Arial" w:hAnsi="Arial" w:cs="Arial"/>
          <w:sz w:val="24"/>
          <w:szCs w:val="24"/>
        </w:rPr>
        <w:t xml:space="preserve"> ji </w:t>
      </w:r>
      <w:r w:rsidR="00BC34AA" w:rsidRPr="00CB73D9">
        <w:rPr>
          <w:rFonts w:ascii="Arial" w:hAnsi="Arial" w:cs="Arial"/>
          <w:sz w:val="24"/>
          <w:szCs w:val="24"/>
        </w:rPr>
        <w:t xml:space="preserve">zastavil strážník obecní policie obce X. Sdělil jí, že „překročila rychlost o 5 km/h“, že se „dopustila přestupku proti silničnímu provozu“ a že jí to „bude stát 1 000,- Kč“. Bára řekla, že souhlasí, ale že u sebe nemá tolik peněz. Strážník </w:t>
      </w:r>
      <w:r w:rsidR="00935C5B" w:rsidRPr="00CB73D9">
        <w:rPr>
          <w:rFonts w:ascii="Arial" w:hAnsi="Arial" w:cs="Arial"/>
          <w:sz w:val="24"/>
          <w:szCs w:val="24"/>
        </w:rPr>
        <w:t>v</w:t>
      </w:r>
      <w:r w:rsidR="00BC34AA" w:rsidRPr="00CB73D9">
        <w:rPr>
          <w:rFonts w:ascii="Arial" w:hAnsi="Arial" w:cs="Arial"/>
          <w:sz w:val="24"/>
          <w:szCs w:val="24"/>
        </w:rPr>
        <w:t>ypsal a Báře předal příkazov</w:t>
      </w:r>
      <w:r w:rsidR="00926C9D" w:rsidRPr="00CB73D9">
        <w:rPr>
          <w:rFonts w:ascii="Arial" w:hAnsi="Arial" w:cs="Arial"/>
          <w:sz w:val="24"/>
          <w:szCs w:val="24"/>
        </w:rPr>
        <w:t>ý blok</w:t>
      </w:r>
      <w:r w:rsidR="00BC34AA" w:rsidRPr="00CB73D9">
        <w:rPr>
          <w:rFonts w:ascii="Arial" w:hAnsi="Arial" w:cs="Arial"/>
          <w:sz w:val="24"/>
          <w:szCs w:val="24"/>
        </w:rPr>
        <w:t xml:space="preserve"> na pokutu na místě nezaplacenou se splatností do 16.7.</w:t>
      </w:r>
      <w:r w:rsidR="00FD7F87" w:rsidRPr="00CB73D9">
        <w:rPr>
          <w:rFonts w:ascii="Arial" w:hAnsi="Arial" w:cs="Arial"/>
          <w:sz w:val="24"/>
          <w:szCs w:val="24"/>
        </w:rPr>
        <w:t>2019.</w:t>
      </w:r>
      <w:r w:rsidR="00BC34AA" w:rsidRPr="00CB73D9">
        <w:rPr>
          <w:rFonts w:ascii="Arial" w:hAnsi="Arial" w:cs="Arial"/>
          <w:sz w:val="24"/>
          <w:szCs w:val="24"/>
        </w:rPr>
        <w:t xml:space="preserve"> </w:t>
      </w:r>
      <w:r w:rsidR="00926C9D" w:rsidRPr="00CB73D9">
        <w:rPr>
          <w:rFonts w:ascii="Arial" w:hAnsi="Arial" w:cs="Arial"/>
          <w:sz w:val="24"/>
          <w:szCs w:val="24"/>
        </w:rPr>
        <w:t xml:space="preserve">Bára </w:t>
      </w:r>
      <w:r w:rsidR="00FD7F87" w:rsidRPr="00CB73D9">
        <w:rPr>
          <w:rFonts w:ascii="Arial" w:hAnsi="Arial" w:cs="Arial"/>
          <w:sz w:val="24"/>
          <w:szCs w:val="24"/>
        </w:rPr>
        <w:t>se začala strážníka vyptávat na uzavírky v okolí a po chvíli mu vrátila</w:t>
      </w:r>
      <w:r w:rsidR="00455389" w:rsidRPr="00CB73D9">
        <w:rPr>
          <w:rFonts w:ascii="Arial" w:hAnsi="Arial" w:cs="Arial"/>
          <w:sz w:val="24"/>
          <w:szCs w:val="24"/>
        </w:rPr>
        <w:t xml:space="preserve"> příkazový blok bez svého podpisu.</w:t>
      </w:r>
      <w:r w:rsidR="00181A01" w:rsidRPr="00CB73D9">
        <w:rPr>
          <w:rFonts w:ascii="Arial" w:hAnsi="Arial" w:cs="Arial"/>
          <w:sz w:val="24"/>
          <w:szCs w:val="24"/>
        </w:rPr>
        <w:t xml:space="preserve"> Pak se na něj</w:t>
      </w:r>
      <w:r w:rsidR="00BC34AA" w:rsidRPr="00CB73D9">
        <w:rPr>
          <w:rFonts w:ascii="Arial" w:hAnsi="Arial" w:cs="Arial"/>
          <w:sz w:val="24"/>
          <w:szCs w:val="24"/>
        </w:rPr>
        <w:t xml:space="preserve"> usmála a odjela. Strážník si chybějícího podpisu nevšiml.</w:t>
      </w: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D7F87" w:rsidRPr="00CB73D9">
        <w:rPr>
          <w:rFonts w:ascii="Arial" w:hAnsi="Arial" w:cs="Arial"/>
          <w:sz w:val="24"/>
          <w:szCs w:val="24"/>
        </w:rPr>
        <w:t>Kl</w:t>
      </w:r>
      <w:r w:rsidR="00BC34AA" w:rsidRPr="00CB73D9">
        <w:rPr>
          <w:rFonts w:ascii="Arial" w:hAnsi="Arial" w:cs="Arial"/>
          <w:sz w:val="24"/>
          <w:szCs w:val="24"/>
        </w:rPr>
        <w:t>ára při jízdě v obci Y</w:t>
      </w:r>
      <w:r w:rsid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 xml:space="preserve"> nezastavila na křižovatce, když byl na semaforu červený signál „Stůj“. Křižovatkou projela a na přechodu pro chodce náhodou málem srazila svého bývalého přítele Lumíra. Lumír stačil uskočit. </w:t>
      </w:r>
      <w:r w:rsidR="00181A01" w:rsidRPr="00CB73D9">
        <w:rPr>
          <w:rFonts w:ascii="Arial" w:hAnsi="Arial" w:cs="Arial"/>
          <w:sz w:val="24"/>
          <w:szCs w:val="24"/>
        </w:rPr>
        <w:t>N</w:t>
      </w:r>
      <w:r w:rsidR="00BC34AA" w:rsidRPr="00CB73D9">
        <w:rPr>
          <w:rFonts w:ascii="Arial" w:hAnsi="Arial" w:cs="Arial"/>
          <w:sz w:val="24"/>
          <w:szCs w:val="24"/>
        </w:rPr>
        <w:t xml:space="preserve">ic </w:t>
      </w:r>
      <w:r w:rsidR="00181A01" w:rsidRPr="00CB73D9">
        <w:rPr>
          <w:rFonts w:ascii="Arial" w:hAnsi="Arial" w:cs="Arial"/>
          <w:sz w:val="24"/>
          <w:szCs w:val="24"/>
        </w:rPr>
        <w:t xml:space="preserve">se mu </w:t>
      </w:r>
      <w:r w:rsidR="00BC34AA" w:rsidRPr="00CB73D9">
        <w:rPr>
          <w:rFonts w:ascii="Arial" w:hAnsi="Arial" w:cs="Arial"/>
          <w:sz w:val="24"/>
          <w:szCs w:val="24"/>
        </w:rPr>
        <w:t xml:space="preserve">nestalo. Přes sklo automobilu </w:t>
      </w:r>
      <w:r w:rsidR="00181A01" w:rsidRPr="00CB73D9">
        <w:rPr>
          <w:rFonts w:ascii="Arial" w:hAnsi="Arial" w:cs="Arial"/>
          <w:sz w:val="24"/>
          <w:szCs w:val="24"/>
        </w:rPr>
        <w:t xml:space="preserve">ale </w:t>
      </w:r>
      <w:r w:rsidR="00BC34AA" w:rsidRPr="00CB73D9">
        <w:rPr>
          <w:rFonts w:ascii="Arial" w:hAnsi="Arial" w:cs="Arial"/>
          <w:sz w:val="24"/>
          <w:szCs w:val="24"/>
        </w:rPr>
        <w:t>Kláru poznal</w:t>
      </w:r>
      <w:r w:rsidR="00181A01" w:rsidRPr="00CB73D9">
        <w:rPr>
          <w:rFonts w:ascii="Arial" w:hAnsi="Arial" w:cs="Arial"/>
          <w:sz w:val="24"/>
          <w:szCs w:val="24"/>
        </w:rPr>
        <w:t>. I</w:t>
      </w:r>
      <w:r w:rsidR="00BC34AA" w:rsidRPr="00CB73D9">
        <w:rPr>
          <w:rFonts w:ascii="Arial" w:hAnsi="Arial" w:cs="Arial"/>
          <w:sz w:val="24"/>
          <w:szCs w:val="24"/>
        </w:rPr>
        <w:t xml:space="preserve">ncident zaznamenal kamerový systém obce Y. </w:t>
      </w:r>
      <w:r w:rsidR="00AA53A1" w:rsidRPr="00CB73D9">
        <w:rPr>
          <w:rFonts w:ascii="Arial" w:hAnsi="Arial" w:cs="Arial"/>
          <w:sz w:val="24"/>
          <w:szCs w:val="24"/>
        </w:rPr>
        <w:t xml:space="preserve">Lumír </w:t>
      </w:r>
      <w:r w:rsidR="000F2CE6" w:rsidRPr="00CB73D9">
        <w:rPr>
          <w:rFonts w:ascii="Arial" w:hAnsi="Arial" w:cs="Arial"/>
          <w:sz w:val="24"/>
          <w:szCs w:val="24"/>
        </w:rPr>
        <w:t xml:space="preserve">poté </w:t>
      </w:r>
      <w:r w:rsidR="00BC34AA" w:rsidRPr="00CB73D9">
        <w:rPr>
          <w:rFonts w:ascii="Arial" w:hAnsi="Arial" w:cs="Arial"/>
          <w:sz w:val="24"/>
          <w:szCs w:val="24"/>
        </w:rPr>
        <w:t xml:space="preserve">zašel na místní služebnu obecní policie. Zde podal oznámení o podezření ze spáchání přestupku a označil Kláru jako podezřelou. Strážníci sepsali o podaném oznámení úřední záznam, který </w:t>
      </w:r>
      <w:r w:rsidR="00181A01" w:rsidRPr="00CB73D9">
        <w:rPr>
          <w:rFonts w:ascii="Arial" w:hAnsi="Arial" w:cs="Arial"/>
          <w:sz w:val="24"/>
          <w:szCs w:val="24"/>
        </w:rPr>
        <w:t>následujícího dne předali obecní</w:t>
      </w:r>
      <w:r w:rsidR="00BC34AA" w:rsidRPr="00CB73D9">
        <w:rPr>
          <w:rFonts w:ascii="Arial" w:hAnsi="Arial" w:cs="Arial"/>
          <w:sz w:val="24"/>
          <w:szCs w:val="24"/>
        </w:rPr>
        <w:t>mu úřadu obce Y.</w:t>
      </w: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>Sára při projížďce automobilem v obci Z</w:t>
      </w:r>
      <w:r w:rsidR="00145438" w:rsidRP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 xml:space="preserve"> dojela na okraj lesa k cestě. Na začátku cesty si všimla dopravní značky B1 „Zákaz vjezdu všech vozidel v obou směrech“. Nevšimla si ale </w:t>
      </w:r>
      <w:r w:rsidR="00145438" w:rsidRPr="00CB73D9">
        <w:rPr>
          <w:rFonts w:ascii="Arial" w:hAnsi="Arial" w:cs="Arial"/>
          <w:sz w:val="24"/>
          <w:szCs w:val="24"/>
        </w:rPr>
        <w:t xml:space="preserve">skryté </w:t>
      </w:r>
      <w:r w:rsidR="00BC34AA" w:rsidRPr="00CB73D9">
        <w:rPr>
          <w:rFonts w:ascii="Arial" w:hAnsi="Arial" w:cs="Arial"/>
          <w:sz w:val="24"/>
          <w:szCs w:val="24"/>
        </w:rPr>
        <w:t>kamery obce Z</w:t>
      </w:r>
      <w:r w:rsidR="00145438" w:rsidRP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>, která snímala prostor před dopravní značkou. Protože nikdo kolem nebyl, Sára se rozhodla, že si dopra</w:t>
      </w:r>
      <w:r w:rsidR="00181A01" w:rsidRPr="00CB73D9">
        <w:rPr>
          <w:rFonts w:ascii="Arial" w:hAnsi="Arial" w:cs="Arial"/>
          <w:sz w:val="24"/>
          <w:szCs w:val="24"/>
        </w:rPr>
        <w:t xml:space="preserve">vní značky nebude všímat a po </w:t>
      </w:r>
      <w:r w:rsidR="000F2CE6" w:rsidRPr="00CB73D9">
        <w:rPr>
          <w:rFonts w:ascii="Arial" w:hAnsi="Arial" w:cs="Arial"/>
          <w:sz w:val="24"/>
          <w:szCs w:val="24"/>
        </w:rPr>
        <w:t xml:space="preserve">lesní </w:t>
      </w:r>
      <w:r w:rsidR="00AA53A1" w:rsidRPr="00CB73D9">
        <w:rPr>
          <w:rFonts w:ascii="Arial" w:hAnsi="Arial" w:cs="Arial"/>
          <w:sz w:val="24"/>
          <w:szCs w:val="24"/>
        </w:rPr>
        <w:t xml:space="preserve">cestě dojela </w:t>
      </w:r>
      <w:r w:rsidR="00BC34AA" w:rsidRPr="00CB73D9">
        <w:rPr>
          <w:rFonts w:ascii="Arial" w:hAnsi="Arial" w:cs="Arial"/>
          <w:sz w:val="24"/>
          <w:szCs w:val="24"/>
        </w:rPr>
        <w:t>k rybníku.</w:t>
      </w: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>Obce X</w:t>
      </w:r>
      <w:r w:rsid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>, Y</w:t>
      </w:r>
      <w:r w:rsid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 xml:space="preserve"> i Z</w:t>
      </w:r>
      <w:r w:rsid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> jsou obcemi s</w:t>
      </w:r>
      <w:r w:rsidR="00145438" w:rsidRPr="00CB73D9">
        <w:rPr>
          <w:rFonts w:ascii="Arial" w:hAnsi="Arial" w:cs="Arial"/>
          <w:sz w:val="24"/>
          <w:szCs w:val="24"/>
        </w:rPr>
        <w:t> </w:t>
      </w:r>
      <w:r w:rsidR="00BC34AA" w:rsidRPr="00CB73D9">
        <w:rPr>
          <w:rFonts w:ascii="Arial" w:hAnsi="Arial" w:cs="Arial"/>
          <w:sz w:val="24"/>
          <w:szCs w:val="24"/>
        </w:rPr>
        <w:t>rozšířenou</w:t>
      </w:r>
      <w:r w:rsidR="00145438" w:rsidRPr="00CB73D9">
        <w:rPr>
          <w:rFonts w:ascii="Arial" w:hAnsi="Arial" w:cs="Arial"/>
          <w:sz w:val="24"/>
          <w:szCs w:val="24"/>
        </w:rPr>
        <w:t xml:space="preserve"> </w:t>
      </w:r>
      <w:r w:rsidR="00BC34AA" w:rsidRPr="00CB73D9">
        <w:rPr>
          <w:rFonts w:ascii="Arial" w:hAnsi="Arial" w:cs="Arial"/>
          <w:sz w:val="24"/>
          <w:szCs w:val="24"/>
        </w:rPr>
        <w:t>působností.</w:t>
      </w: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>Otci Kláry byl v pátek 12.7.</w:t>
      </w:r>
      <w:r w:rsidR="00145438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doručen příkaz obecního úřadu obce Y. V příkazu byl uznán vinným z přestupku podle § 125f odst. 1 zákona o silničním provozu, neboť jako provozovatel vozidla nezajistil, aby při užití vozidla na pozemní komunikaci byly dodržovány povinnosti řidiče, za což se mu ukládá</w:t>
      </w:r>
      <w:r w:rsidR="00AA53A1" w:rsidRPr="00CB73D9">
        <w:rPr>
          <w:rFonts w:ascii="Arial" w:hAnsi="Arial" w:cs="Arial"/>
          <w:sz w:val="24"/>
          <w:szCs w:val="24"/>
        </w:rPr>
        <w:t xml:space="preserve"> pokuta </w:t>
      </w:r>
      <w:r w:rsidR="00BC34AA" w:rsidRPr="00CB73D9">
        <w:rPr>
          <w:rFonts w:ascii="Arial" w:hAnsi="Arial" w:cs="Arial"/>
          <w:sz w:val="24"/>
          <w:szCs w:val="24"/>
        </w:rPr>
        <w:t>5 000,- Kč. V odůvodnění úřad uvedl, že vyšel z kamerového záznamu ze dne 1.7.</w:t>
      </w:r>
      <w:r w:rsidR="00145438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, </w:t>
      </w:r>
      <w:r w:rsidR="00145438" w:rsidRPr="00CB73D9">
        <w:rPr>
          <w:rFonts w:ascii="Arial" w:hAnsi="Arial" w:cs="Arial"/>
          <w:sz w:val="24"/>
          <w:szCs w:val="24"/>
        </w:rPr>
        <w:t>díky kterému se podařilo</w:t>
      </w:r>
      <w:r w:rsidR="00181A01" w:rsidRPr="00CB73D9">
        <w:rPr>
          <w:rFonts w:ascii="Arial" w:hAnsi="Arial" w:cs="Arial"/>
          <w:sz w:val="24"/>
          <w:szCs w:val="24"/>
        </w:rPr>
        <w:t xml:space="preserve"> identifikovat</w:t>
      </w:r>
      <w:r w:rsidR="00BC34AA" w:rsidRPr="00CB73D9">
        <w:rPr>
          <w:rFonts w:ascii="Arial" w:hAnsi="Arial" w:cs="Arial"/>
          <w:sz w:val="24"/>
          <w:szCs w:val="24"/>
        </w:rPr>
        <w:t xml:space="preserve"> provozovatele</w:t>
      </w:r>
      <w:r w:rsidR="00181A01" w:rsidRPr="00CB73D9">
        <w:rPr>
          <w:rFonts w:ascii="Arial" w:hAnsi="Arial" w:cs="Arial"/>
          <w:sz w:val="24"/>
          <w:szCs w:val="24"/>
        </w:rPr>
        <w:t xml:space="preserve"> vozidla</w:t>
      </w:r>
      <w:r w:rsidR="00BC34AA" w:rsidRPr="00CB73D9">
        <w:rPr>
          <w:rFonts w:ascii="Arial" w:hAnsi="Arial" w:cs="Arial"/>
          <w:sz w:val="24"/>
          <w:szCs w:val="24"/>
        </w:rPr>
        <w:t>. Otec Kláry podal proti příkazu odpor v pondělí 22.7.</w:t>
      </w:r>
      <w:r w:rsidR="00181A01" w:rsidRPr="00CB73D9">
        <w:rPr>
          <w:rFonts w:ascii="Arial" w:hAnsi="Arial" w:cs="Arial"/>
          <w:sz w:val="24"/>
          <w:szCs w:val="24"/>
        </w:rPr>
        <w:t>2019</w:t>
      </w: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>Matce Sáry byla v pátek 12.7.</w:t>
      </w:r>
      <w:r w:rsidR="00181A01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doručena výzva obecního úřadu obce Z</w:t>
      </w:r>
      <w:r w:rsid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 xml:space="preserve"> k uhrazení částky 1 000,- Kč ve lhůtě 15 dnů ode dne doručení výzvy. Ve výzvě byl popsán skutek, který byl na lesní cestě s jejím vozidlem spáchán, označen přestupek, jehož znaky skutek vykazuje, a poučení o tom, že pokud neuhradí určenou částku, může úřadu písemně sdělit údaje o totožnosti řidiče, což se bude považovat za podání </w:t>
      </w:r>
      <w:r w:rsidR="00BC34AA" w:rsidRPr="00CB73D9">
        <w:rPr>
          <w:rFonts w:ascii="Arial" w:hAnsi="Arial" w:cs="Arial"/>
          <w:sz w:val="24"/>
          <w:szCs w:val="24"/>
        </w:rPr>
        <w:lastRenderedPageBreak/>
        <w:t>vysvětlení. Matka Sáry v určené lhůtě částku nezaplatila. Úřadu odpověděla dopisem ze dne 29.7.</w:t>
      </w:r>
      <w:r w:rsidR="0048622B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>, v němž uvedla, že v uvedené době neřídila vozidlo ona, ale osoba blízká, a že proto odpírá poskytnout vysvětlení.</w:t>
      </w: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 xml:space="preserve">Matce Sáry </w:t>
      </w:r>
      <w:r w:rsidR="00935C5B" w:rsidRPr="00CB73D9">
        <w:rPr>
          <w:rFonts w:ascii="Arial" w:hAnsi="Arial" w:cs="Arial"/>
          <w:sz w:val="24"/>
          <w:szCs w:val="24"/>
        </w:rPr>
        <w:t xml:space="preserve">byl </w:t>
      </w:r>
      <w:r w:rsidR="00BC34AA" w:rsidRPr="00CB73D9">
        <w:rPr>
          <w:rFonts w:ascii="Arial" w:hAnsi="Arial" w:cs="Arial"/>
          <w:sz w:val="24"/>
          <w:szCs w:val="24"/>
        </w:rPr>
        <w:t>ve středu 7.8.</w:t>
      </w:r>
      <w:r w:rsidR="0048622B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doručen příkaz obecního úřadu obce Z. V příkazu byla uznána vinnou z přestupku podle § 125c odst. 2 zákona o silničním provozu, neboť jako provozovatelka vozidla svěřila řízení vozidla osobě, o níž nezná údaje potřebné ke zjištění její totožnosti, za což se jí ukládá pokuta 5 000,- Kč. V odůvodnění úřad uvedl, že vyšel </w:t>
      </w:r>
      <w:r w:rsidR="00935C5B" w:rsidRPr="00CB73D9">
        <w:rPr>
          <w:rFonts w:ascii="Arial" w:hAnsi="Arial" w:cs="Arial"/>
          <w:sz w:val="24"/>
          <w:szCs w:val="24"/>
        </w:rPr>
        <w:t>z jejího dopisu</w:t>
      </w:r>
      <w:r w:rsidR="00BC34AA" w:rsidRPr="00CB73D9">
        <w:rPr>
          <w:rFonts w:ascii="Arial" w:hAnsi="Arial" w:cs="Arial"/>
          <w:sz w:val="24"/>
          <w:szCs w:val="24"/>
        </w:rPr>
        <w:t>, ve které</w:t>
      </w:r>
      <w:r w:rsidR="00935C5B" w:rsidRPr="00CB73D9">
        <w:rPr>
          <w:rFonts w:ascii="Arial" w:hAnsi="Arial" w:cs="Arial"/>
          <w:sz w:val="24"/>
          <w:szCs w:val="24"/>
        </w:rPr>
        <w:t>m</w:t>
      </w:r>
      <w:r w:rsidR="00BC34AA" w:rsidRPr="00CB73D9">
        <w:rPr>
          <w:rFonts w:ascii="Arial" w:hAnsi="Arial" w:cs="Arial"/>
          <w:sz w:val="24"/>
          <w:szCs w:val="24"/>
        </w:rPr>
        <w:t xml:space="preserve"> odepřela sdělit totožnost řidiče.</w:t>
      </w: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>Matka Sáry promeškala lhůtu k podání odporu. Dne 20.8.</w:t>
      </w:r>
      <w:r w:rsidR="0048622B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však podala proti příkazu podnět k přezkumnému řízení k obecn</w:t>
      </w:r>
      <w:r w:rsidR="00CB73D9">
        <w:rPr>
          <w:rFonts w:ascii="Arial" w:hAnsi="Arial" w:cs="Arial"/>
          <w:sz w:val="24"/>
          <w:szCs w:val="24"/>
        </w:rPr>
        <w:t>í</w:t>
      </w:r>
      <w:r w:rsidR="00BC34AA" w:rsidRPr="00CB73D9">
        <w:rPr>
          <w:rFonts w:ascii="Arial" w:hAnsi="Arial" w:cs="Arial"/>
          <w:sz w:val="24"/>
          <w:szCs w:val="24"/>
        </w:rPr>
        <w:t>mu úřadu obce Z. V něm namítla nezákonnost příkazu s odůvodněním, že odepření výpovědi k ochraně osoby blízké je její ústavní právo. Úřad jí však dne 26.8.</w:t>
      </w:r>
      <w:r w:rsidR="00935C5B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odpověděl sdělením, že neshledal důvod k zahájení přezkumného řízení a že tím považuje věc za vyřízenou. Matka Sáry podala dne 2.9.</w:t>
      </w:r>
      <w:r w:rsidR="00AA53A1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proti sdělení obecního úřadu ke krajskému soudu žalobu</w:t>
      </w:r>
      <w:r w:rsidR="00935C5B" w:rsidRPr="00CB73D9">
        <w:rPr>
          <w:rFonts w:ascii="Arial" w:hAnsi="Arial" w:cs="Arial"/>
          <w:sz w:val="24"/>
          <w:szCs w:val="24"/>
        </w:rPr>
        <w:t>, v níž sdělení napadla jako rozhodnutí v materiálním smyslu</w:t>
      </w:r>
      <w:r w:rsidR="00BC34AA" w:rsidRPr="00CB73D9">
        <w:rPr>
          <w:rFonts w:ascii="Arial" w:hAnsi="Arial" w:cs="Arial"/>
          <w:sz w:val="24"/>
          <w:szCs w:val="24"/>
        </w:rPr>
        <w:t>.</w:t>
      </w:r>
    </w:p>
    <w:p w:rsidR="00BC34AA" w:rsidRPr="00CB73D9" w:rsidRDefault="00F22A9E" w:rsidP="00B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34AA" w:rsidRPr="00CB73D9">
        <w:rPr>
          <w:rFonts w:ascii="Arial" w:hAnsi="Arial" w:cs="Arial"/>
          <w:sz w:val="24"/>
          <w:szCs w:val="24"/>
        </w:rPr>
        <w:t>Báře i matce Sáry byly ve středu 4.9.</w:t>
      </w:r>
      <w:r w:rsidR="00AA53A1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doručeny exekuční výzvy. V exekuční výzvě adresované Báře </w:t>
      </w:r>
      <w:r w:rsidR="00AA53A1" w:rsidRPr="00CB73D9">
        <w:rPr>
          <w:rFonts w:ascii="Arial" w:hAnsi="Arial" w:cs="Arial"/>
          <w:sz w:val="24"/>
          <w:szCs w:val="24"/>
        </w:rPr>
        <w:t xml:space="preserve">ji </w:t>
      </w:r>
      <w:r w:rsidR="00BC34AA" w:rsidRPr="00CB73D9">
        <w:rPr>
          <w:rFonts w:ascii="Arial" w:hAnsi="Arial" w:cs="Arial"/>
          <w:sz w:val="24"/>
          <w:szCs w:val="24"/>
        </w:rPr>
        <w:t>obecní úřad obce X</w:t>
      </w:r>
      <w:r w:rsidR="00CB73D9">
        <w:rPr>
          <w:rFonts w:ascii="Arial" w:hAnsi="Arial" w:cs="Arial"/>
          <w:sz w:val="24"/>
          <w:szCs w:val="24"/>
        </w:rPr>
        <w:t>.</w:t>
      </w:r>
      <w:r w:rsidR="00BC34AA" w:rsidRPr="00CB73D9">
        <w:rPr>
          <w:rFonts w:ascii="Arial" w:hAnsi="Arial" w:cs="Arial"/>
          <w:sz w:val="24"/>
          <w:szCs w:val="24"/>
        </w:rPr>
        <w:t xml:space="preserve"> upozornil na příkaz ze dne 1.7.</w:t>
      </w:r>
      <w:r w:rsidR="00AA53A1" w:rsidRPr="00CB73D9">
        <w:rPr>
          <w:rFonts w:ascii="Arial" w:hAnsi="Arial" w:cs="Arial"/>
          <w:sz w:val="24"/>
          <w:szCs w:val="24"/>
        </w:rPr>
        <w:t>2019</w:t>
      </w:r>
      <w:r w:rsidR="00BC34AA" w:rsidRPr="00CB73D9">
        <w:rPr>
          <w:rFonts w:ascii="Arial" w:hAnsi="Arial" w:cs="Arial"/>
          <w:sz w:val="24"/>
          <w:szCs w:val="24"/>
        </w:rPr>
        <w:t xml:space="preserve"> a vyzval ji, aby dlužnou pokutu 1 000,- Kč uhradila v náhradní lhůtě do 15 dnů ode dne doručení výzvy. V exekuční výzvě adresované matce Sáry </w:t>
      </w:r>
      <w:r w:rsidR="00AA53A1" w:rsidRPr="00CB73D9">
        <w:rPr>
          <w:rFonts w:ascii="Arial" w:hAnsi="Arial" w:cs="Arial"/>
          <w:sz w:val="24"/>
          <w:szCs w:val="24"/>
        </w:rPr>
        <w:t xml:space="preserve">ji </w:t>
      </w:r>
      <w:r w:rsidR="00BC34AA" w:rsidRPr="00CB73D9">
        <w:rPr>
          <w:rFonts w:ascii="Arial" w:hAnsi="Arial" w:cs="Arial"/>
          <w:sz w:val="24"/>
          <w:szCs w:val="24"/>
        </w:rPr>
        <w:t>obecní úřad obce</w:t>
      </w:r>
      <w:r w:rsidR="000F2CE6" w:rsidRPr="00CB73D9">
        <w:rPr>
          <w:rFonts w:ascii="Arial" w:hAnsi="Arial" w:cs="Arial"/>
          <w:sz w:val="24"/>
          <w:szCs w:val="24"/>
        </w:rPr>
        <w:t> </w:t>
      </w:r>
      <w:r w:rsidR="00BC34AA" w:rsidRPr="00CB73D9">
        <w:rPr>
          <w:rFonts w:ascii="Arial" w:hAnsi="Arial" w:cs="Arial"/>
          <w:sz w:val="24"/>
          <w:szCs w:val="24"/>
        </w:rPr>
        <w:t>Z</w:t>
      </w:r>
      <w:r w:rsidR="00CB73D9">
        <w:rPr>
          <w:rFonts w:ascii="Arial" w:hAnsi="Arial" w:cs="Arial"/>
          <w:sz w:val="24"/>
          <w:szCs w:val="24"/>
        </w:rPr>
        <w:t>.</w:t>
      </w:r>
      <w:r w:rsidR="00AA53A1" w:rsidRPr="00CB73D9">
        <w:rPr>
          <w:rFonts w:ascii="Arial" w:hAnsi="Arial" w:cs="Arial"/>
          <w:sz w:val="24"/>
          <w:szCs w:val="24"/>
        </w:rPr>
        <w:t xml:space="preserve"> upozornil </w:t>
      </w:r>
      <w:r w:rsidR="00BC34AA" w:rsidRPr="00CB73D9">
        <w:rPr>
          <w:rFonts w:ascii="Arial" w:hAnsi="Arial" w:cs="Arial"/>
          <w:sz w:val="24"/>
          <w:szCs w:val="24"/>
        </w:rPr>
        <w:t>na výzvu k úhradě částky 1000,- Kč a vyzval ji, aby dlužnou částku uhradila v náhradní lhůtě do 15 dnů ode dne doručení výzvy.</w:t>
      </w:r>
    </w:p>
    <w:p w:rsidR="00B433E4" w:rsidRPr="00CB73D9" w:rsidRDefault="00560FA0" w:rsidP="002F0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3D9">
        <w:rPr>
          <w:rFonts w:ascii="Arial" w:hAnsi="Arial" w:cs="Arial"/>
          <w:sz w:val="24"/>
          <w:szCs w:val="24"/>
        </w:rPr>
        <w:t xml:space="preserve">OTÁZKY: </w:t>
      </w:r>
    </w:p>
    <w:p w:rsidR="002F0C37" w:rsidRPr="00CB73D9" w:rsidRDefault="002F0C37" w:rsidP="002F0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933" w:rsidRPr="00CB73D9" w:rsidRDefault="009C2933" w:rsidP="009C2933">
      <w:pPr>
        <w:numPr>
          <w:ilvl w:val="0"/>
          <w:numId w:val="5"/>
        </w:numPr>
        <w:spacing w:after="0" w:line="240" w:lineRule="auto"/>
        <w:ind w:left="284" w:hanging="295"/>
        <w:contextualSpacing/>
        <w:jc w:val="both"/>
        <w:rPr>
          <w:rFonts w:ascii="Arial" w:hAnsi="Arial" w:cs="Arial"/>
          <w:sz w:val="24"/>
          <w:szCs w:val="24"/>
        </w:rPr>
      </w:pPr>
      <w:r w:rsidRPr="00CB73D9">
        <w:rPr>
          <w:rFonts w:ascii="Arial" w:hAnsi="Arial" w:cs="Arial"/>
          <w:sz w:val="24"/>
          <w:szCs w:val="24"/>
        </w:rPr>
        <w:t>Jak by měl rozhodnout obecní úřad obce Y</w:t>
      </w:r>
      <w:r w:rsidR="00CB73D9">
        <w:rPr>
          <w:rFonts w:ascii="Arial" w:hAnsi="Arial" w:cs="Arial"/>
          <w:sz w:val="24"/>
          <w:szCs w:val="24"/>
        </w:rPr>
        <w:t>.</w:t>
      </w:r>
      <w:r w:rsidRPr="00CB73D9">
        <w:rPr>
          <w:rFonts w:ascii="Arial" w:hAnsi="Arial" w:cs="Arial"/>
          <w:sz w:val="24"/>
          <w:szCs w:val="24"/>
        </w:rPr>
        <w:t xml:space="preserve"> po podání odporu otce Kláry?</w:t>
      </w:r>
    </w:p>
    <w:p w:rsidR="009C2933" w:rsidRPr="00CB73D9" w:rsidRDefault="009C2933" w:rsidP="009C2933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9C2933" w:rsidRPr="00CB73D9" w:rsidRDefault="009C2933" w:rsidP="009C2933">
      <w:pPr>
        <w:numPr>
          <w:ilvl w:val="0"/>
          <w:numId w:val="5"/>
        </w:numPr>
        <w:spacing w:after="0" w:line="240" w:lineRule="auto"/>
        <w:ind w:left="284" w:hanging="295"/>
        <w:contextualSpacing/>
        <w:jc w:val="both"/>
        <w:rPr>
          <w:rFonts w:ascii="Arial" w:hAnsi="Arial" w:cs="Arial"/>
          <w:sz w:val="24"/>
          <w:szCs w:val="24"/>
        </w:rPr>
      </w:pPr>
      <w:r w:rsidRPr="00CB73D9">
        <w:rPr>
          <w:rFonts w:ascii="Arial" w:hAnsi="Arial" w:cs="Arial"/>
          <w:sz w:val="24"/>
          <w:szCs w:val="24"/>
        </w:rPr>
        <w:t>Byl dán důvod pro zahájení přezkumného řízení proti příkazu obecního úřadu obce Z</w:t>
      </w:r>
      <w:r w:rsidR="00CB73D9">
        <w:rPr>
          <w:rFonts w:ascii="Arial" w:hAnsi="Arial" w:cs="Arial"/>
          <w:sz w:val="24"/>
          <w:szCs w:val="24"/>
        </w:rPr>
        <w:t>.</w:t>
      </w:r>
      <w:r w:rsidRPr="00CB73D9">
        <w:rPr>
          <w:rFonts w:ascii="Arial" w:hAnsi="Arial" w:cs="Arial"/>
          <w:sz w:val="24"/>
          <w:szCs w:val="24"/>
        </w:rPr>
        <w:t> proti matce Sáry?</w:t>
      </w:r>
    </w:p>
    <w:p w:rsidR="009C2933" w:rsidRPr="00CB73D9" w:rsidRDefault="009C2933" w:rsidP="009C2933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9C2933" w:rsidRPr="00CB73D9" w:rsidRDefault="009C2933" w:rsidP="009C2933">
      <w:pPr>
        <w:numPr>
          <w:ilvl w:val="0"/>
          <w:numId w:val="5"/>
        </w:numPr>
        <w:spacing w:after="0" w:line="240" w:lineRule="auto"/>
        <w:ind w:left="284" w:hanging="295"/>
        <w:contextualSpacing/>
        <w:jc w:val="both"/>
        <w:rPr>
          <w:rFonts w:ascii="Arial" w:hAnsi="Arial" w:cs="Arial"/>
          <w:sz w:val="24"/>
          <w:szCs w:val="24"/>
        </w:rPr>
      </w:pPr>
      <w:r w:rsidRPr="00CB73D9">
        <w:rPr>
          <w:rFonts w:ascii="Arial" w:hAnsi="Arial" w:cs="Arial"/>
          <w:sz w:val="24"/>
          <w:szCs w:val="24"/>
        </w:rPr>
        <w:t>Postupoval obecní úřad obce Z</w:t>
      </w:r>
      <w:r w:rsidR="00CB73D9">
        <w:rPr>
          <w:rFonts w:ascii="Arial" w:hAnsi="Arial" w:cs="Arial"/>
          <w:sz w:val="24"/>
          <w:szCs w:val="24"/>
        </w:rPr>
        <w:t>.</w:t>
      </w:r>
      <w:r w:rsidRPr="00CB73D9">
        <w:rPr>
          <w:rFonts w:ascii="Arial" w:hAnsi="Arial" w:cs="Arial"/>
          <w:sz w:val="24"/>
          <w:szCs w:val="24"/>
        </w:rPr>
        <w:t> při vyřízení podnětu matky Sáry v souladu se zákonem?</w:t>
      </w:r>
    </w:p>
    <w:p w:rsidR="009C2933" w:rsidRPr="00CB73D9" w:rsidRDefault="009C2933" w:rsidP="009C2933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9C2933" w:rsidRPr="00CB73D9" w:rsidRDefault="009C2933" w:rsidP="009C2933">
      <w:pPr>
        <w:numPr>
          <w:ilvl w:val="0"/>
          <w:numId w:val="5"/>
        </w:numPr>
        <w:spacing w:after="0" w:line="240" w:lineRule="auto"/>
        <w:ind w:left="284" w:hanging="295"/>
        <w:contextualSpacing/>
        <w:jc w:val="both"/>
        <w:rPr>
          <w:rFonts w:ascii="Arial" w:hAnsi="Arial" w:cs="Arial"/>
          <w:sz w:val="24"/>
          <w:szCs w:val="24"/>
        </w:rPr>
      </w:pPr>
      <w:r w:rsidRPr="00CB73D9">
        <w:rPr>
          <w:rFonts w:ascii="Arial" w:hAnsi="Arial" w:cs="Arial"/>
          <w:sz w:val="24"/>
          <w:szCs w:val="24"/>
        </w:rPr>
        <w:t>Jak by měl soud rozhodnout o žalobě, kterou podala matka Sáry?</w:t>
      </w:r>
    </w:p>
    <w:p w:rsidR="009C2933" w:rsidRPr="00CB73D9" w:rsidRDefault="009C2933" w:rsidP="009C2933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9C2933" w:rsidRPr="00CB73D9" w:rsidRDefault="009C2933" w:rsidP="009C2933">
      <w:pPr>
        <w:numPr>
          <w:ilvl w:val="0"/>
          <w:numId w:val="5"/>
        </w:numPr>
        <w:spacing w:after="0" w:line="240" w:lineRule="auto"/>
        <w:ind w:left="284" w:hanging="295"/>
        <w:contextualSpacing/>
        <w:jc w:val="both"/>
        <w:rPr>
          <w:rFonts w:ascii="Arial" w:hAnsi="Arial" w:cs="Arial"/>
          <w:sz w:val="24"/>
          <w:szCs w:val="24"/>
        </w:rPr>
      </w:pPr>
      <w:r w:rsidRPr="00CB73D9">
        <w:rPr>
          <w:rFonts w:ascii="Arial" w:hAnsi="Arial" w:cs="Arial"/>
          <w:sz w:val="24"/>
          <w:szCs w:val="24"/>
        </w:rPr>
        <w:t>Posuďte zákonnost exekuční výzvy, kterou zaslal Báře obecní úřad obce X</w:t>
      </w:r>
      <w:r w:rsidR="00CB73D9">
        <w:rPr>
          <w:rFonts w:ascii="Arial" w:hAnsi="Arial" w:cs="Arial"/>
          <w:sz w:val="24"/>
          <w:szCs w:val="24"/>
        </w:rPr>
        <w:t>.</w:t>
      </w:r>
      <w:r w:rsidRPr="00CB73D9">
        <w:rPr>
          <w:rFonts w:ascii="Arial" w:hAnsi="Arial" w:cs="Arial"/>
          <w:sz w:val="24"/>
          <w:szCs w:val="24"/>
        </w:rPr>
        <w:t xml:space="preserve"> Báře.</w:t>
      </w:r>
    </w:p>
    <w:p w:rsidR="009C2933" w:rsidRPr="00CB73D9" w:rsidRDefault="009C2933" w:rsidP="009C2933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9C2933" w:rsidRPr="00CB73D9" w:rsidRDefault="009C2933" w:rsidP="009C2933">
      <w:pPr>
        <w:numPr>
          <w:ilvl w:val="0"/>
          <w:numId w:val="5"/>
        </w:numPr>
        <w:spacing w:after="0" w:line="240" w:lineRule="auto"/>
        <w:ind w:left="284" w:hanging="295"/>
        <w:contextualSpacing/>
        <w:jc w:val="both"/>
        <w:rPr>
          <w:rFonts w:ascii="Arial" w:hAnsi="Arial" w:cs="Arial"/>
          <w:sz w:val="24"/>
          <w:szCs w:val="24"/>
        </w:rPr>
      </w:pPr>
      <w:r w:rsidRPr="00CB73D9">
        <w:rPr>
          <w:rFonts w:ascii="Arial" w:hAnsi="Arial" w:cs="Arial"/>
          <w:sz w:val="24"/>
          <w:szCs w:val="24"/>
        </w:rPr>
        <w:t>Posuďte zákonnost exekuční výzvy, kterou zaslal matce Sáry obecní úřad obce Z</w:t>
      </w:r>
      <w:r w:rsidR="00CB73D9">
        <w:rPr>
          <w:rFonts w:ascii="Arial" w:hAnsi="Arial" w:cs="Arial"/>
          <w:sz w:val="24"/>
          <w:szCs w:val="24"/>
        </w:rPr>
        <w:t>.</w:t>
      </w:r>
      <w:r w:rsidRPr="00CB73D9">
        <w:rPr>
          <w:rFonts w:ascii="Arial" w:hAnsi="Arial" w:cs="Arial"/>
          <w:sz w:val="24"/>
          <w:szCs w:val="24"/>
        </w:rPr>
        <w:t>?</w:t>
      </w:r>
    </w:p>
    <w:p w:rsidR="009C2933" w:rsidRPr="00CB73D9" w:rsidRDefault="009C2933" w:rsidP="009C2933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9C2933" w:rsidRPr="00CB73D9" w:rsidRDefault="009C2933" w:rsidP="009C2933">
      <w:pPr>
        <w:numPr>
          <w:ilvl w:val="0"/>
          <w:numId w:val="5"/>
        </w:numPr>
        <w:spacing w:after="0" w:line="240" w:lineRule="auto"/>
        <w:ind w:left="284" w:hanging="295"/>
        <w:contextualSpacing/>
        <w:jc w:val="both"/>
        <w:rPr>
          <w:rFonts w:ascii="Arial" w:hAnsi="Arial" w:cs="Arial"/>
          <w:sz w:val="24"/>
          <w:szCs w:val="24"/>
        </w:rPr>
      </w:pPr>
      <w:r w:rsidRPr="00CB73D9">
        <w:rPr>
          <w:rFonts w:ascii="Arial" w:hAnsi="Arial" w:cs="Arial"/>
          <w:sz w:val="24"/>
          <w:szCs w:val="24"/>
        </w:rPr>
        <w:t>Může se Bára a matka Sáry proti exekuční výzvě bránit?</w:t>
      </w:r>
    </w:p>
    <w:p w:rsidR="009C2933" w:rsidRPr="00CB73D9" w:rsidRDefault="009C2933" w:rsidP="002F0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036" w:rsidRPr="00CB73D9" w:rsidRDefault="00350036" w:rsidP="002F0C3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73D9">
        <w:rPr>
          <w:rFonts w:ascii="Arial" w:hAnsi="Arial" w:cs="Arial"/>
          <w:i/>
          <w:sz w:val="24"/>
          <w:szCs w:val="24"/>
        </w:rPr>
        <w:t>Odpovědi právně odůvodněte.</w:t>
      </w:r>
    </w:p>
    <w:p w:rsidR="00490EE5" w:rsidRDefault="00212941" w:rsidP="002F0C3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73D9">
        <w:rPr>
          <w:rFonts w:ascii="Arial" w:hAnsi="Arial" w:cs="Arial"/>
          <w:i/>
          <w:sz w:val="24"/>
          <w:szCs w:val="24"/>
        </w:rPr>
        <w:t>U odpovědí vázaných na aplikaci právního předpisu je třeba použít přesné citace (předpis, paragraf, odstavec, písmeno</w:t>
      </w:r>
      <w:r w:rsidR="00DF75CB" w:rsidRPr="00CB73D9">
        <w:rPr>
          <w:rFonts w:ascii="Arial" w:hAnsi="Arial" w:cs="Arial"/>
          <w:i/>
          <w:sz w:val="24"/>
          <w:szCs w:val="24"/>
        </w:rPr>
        <w:t xml:space="preserve"> …</w:t>
      </w:r>
    </w:p>
    <w:p w:rsidR="00490EE5" w:rsidRDefault="00490EE5" w:rsidP="002F0C3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90EE5" w:rsidRDefault="00490EE5" w:rsidP="002F0C3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90EE5" w:rsidRDefault="00490EE5" w:rsidP="002F0C3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Řešení</w:t>
      </w:r>
    </w:p>
    <w:p w:rsidR="00490EE5" w:rsidRDefault="00490EE5" w:rsidP="002F0C3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90EE5" w:rsidRPr="00490EE5" w:rsidRDefault="00490EE5" w:rsidP="00490EE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8"/>
          <w:szCs w:val="28"/>
        </w:rPr>
      </w:pPr>
      <w:r w:rsidRPr="00490EE5">
        <w:rPr>
          <w:rFonts w:ascii="Arial" w:hAnsi="Arial" w:cs="Arial"/>
          <w:sz w:val="28"/>
          <w:szCs w:val="28"/>
        </w:rPr>
        <w:t xml:space="preserve">Měl by vydat usnesení o zastavení řízení, a to podle § 66 odst. 2 </w:t>
      </w:r>
      <w:proofErr w:type="spellStart"/>
      <w:r w:rsidRPr="00490EE5">
        <w:rPr>
          <w:rFonts w:ascii="Arial" w:hAnsi="Arial" w:cs="Arial"/>
          <w:sz w:val="28"/>
          <w:szCs w:val="28"/>
        </w:rPr>
        <w:t>SprŘ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, protože odpadl (přesněji řečeno: od začátku chyběl) důvod řízení, popřípadě (tzn. variantně) podle § 86 odst. 1 písm. a) </w:t>
      </w:r>
      <w:proofErr w:type="spellStart"/>
      <w:r w:rsidRPr="00490EE5">
        <w:rPr>
          <w:rFonts w:ascii="Arial" w:hAnsi="Arial" w:cs="Arial"/>
          <w:sz w:val="28"/>
          <w:szCs w:val="28"/>
        </w:rPr>
        <w:t>ZOdpPřes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, protože skutek není přestupkem. </w:t>
      </w:r>
      <w:r w:rsidRPr="00490EE5">
        <w:rPr>
          <w:rFonts w:ascii="Arial" w:hAnsi="Arial" w:cs="Arial"/>
          <w:i/>
          <w:sz w:val="28"/>
          <w:szCs w:val="28"/>
        </w:rPr>
        <w:t xml:space="preserve">Po podání odporu musel úřad pokračovat v řízení podle § 150 odst. 3 </w:t>
      </w:r>
      <w:proofErr w:type="spellStart"/>
      <w:r w:rsidRPr="00490EE5">
        <w:rPr>
          <w:rFonts w:ascii="Arial" w:hAnsi="Arial" w:cs="Arial"/>
          <w:i/>
          <w:sz w:val="28"/>
          <w:szCs w:val="28"/>
        </w:rPr>
        <w:t>SprŘ</w:t>
      </w:r>
      <w:proofErr w:type="spellEnd"/>
      <w:r w:rsidRPr="00490EE5">
        <w:rPr>
          <w:rFonts w:ascii="Arial" w:hAnsi="Arial" w:cs="Arial"/>
          <w:i/>
          <w:sz w:val="28"/>
          <w:szCs w:val="28"/>
        </w:rPr>
        <w:t xml:space="preserve"> a řízení ukončit rozhodnutím, neboť odpor byl včasný a jeho podáním byl příkaz zrušen.</w:t>
      </w:r>
      <w:r w:rsidRPr="00490EE5">
        <w:rPr>
          <w:rFonts w:ascii="Arial" w:hAnsi="Arial" w:cs="Arial"/>
          <w:sz w:val="28"/>
          <w:szCs w:val="28"/>
        </w:rPr>
        <w:t xml:space="preserve"> Nebyla však splněna podmínka pro projednání přestupku, stanovená v § 125f odst. 5 </w:t>
      </w:r>
      <w:proofErr w:type="spellStart"/>
      <w:r w:rsidRPr="00490EE5">
        <w:rPr>
          <w:rFonts w:ascii="Arial" w:hAnsi="Arial" w:cs="Arial"/>
          <w:sz w:val="28"/>
          <w:szCs w:val="28"/>
        </w:rPr>
        <w:t>ZSilProv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, neboť úřad neučinil nezbytné kroky ke zjištění pachatele přestupku. </w:t>
      </w:r>
    </w:p>
    <w:p w:rsidR="00490EE5" w:rsidRPr="00490EE5" w:rsidRDefault="00490EE5" w:rsidP="00490EE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8"/>
          <w:szCs w:val="28"/>
        </w:rPr>
      </w:pPr>
      <w:r w:rsidRPr="00490EE5">
        <w:rPr>
          <w:rFonts w:ascii="Arial" w:hAnsi="Arial" w:cs="Arial"/>
          <w:sz w:val="28"/>
          <w:szCs w:val="28"/>
        </w:rPr>
        <w:t xml:space="preserve">Byl dán důvod pro zahájení přezkumného řízení. Podle § 94 odst. 1 </w:t>
      </w:r>
      <w:proofErr w:type="spellStart"/>
      <w:r w:rsidRPr="00490EE5">
        <w:rPr>
          <w:rFonts w:ascii="Arial" w:hAnsi="Arial" w:cs="Arial"/>
          <w:sz w:val="28"/>
          <w:szCs w:val="28"/>
        </w:rPr>
        <w:t>SprŘ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 je důvodem pro zahájení přezkumného řízení důvodná pochybnost o nezákonnosti pravomocného rozhodnutí. Podle § 150 odst. 3 </w:t>
      </w:r>
      <w:proofErr w:type="spellStart"/>
      <w:r w:rsidRPr="00490EE5">
        <w:rPr>
          <w:rFonts w:ascii="Arial" w:hAnsi="Arial" w:cs="Arial"/>
          <w:sz w:val="28"/>
          <w:szCs w:val="28"/>
        </w:rPr>
        <w:t>SprŘ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 se příkaz, proti němuž nebyl ve stanovené lhůtě podán odpor, stává pravomocným a vykonatelným rozhodnutím. V daném případě byla důvodná pochybnost o nezákonnosti příkazu, neboť matka Sáry svým jednáním nenaplnila skutkovou podstatu (přesněji řečeno: objektivní stránku) přestupku podle § 125c odst. 2 </w:t>
      </w:r>
      <w:proofErr w:type="spellStart"/>
      <w:r w:rsidRPr="00490EE5">
        <w:rPr>
          <w:rFonts w:ascii="Arial" w:hAnsi="Arial" w:cs="Arial"/>
          <w:sz w:val="28"/>
          <w:szCs w:val="28"/>
        </w:rPr>
        <w:t>ZSilProv</w:t>
      </w:r>
      <w:proofErr w:type="spellEnd"/>
      <w:r w:rsidRPr="00490EE5">
        <w:rPr>
          <w:rFonts w:ascii="Arial" w:hAnsi="Arial" w:cs="Arial"/>
          <w:sz w:val="28"/>
          <w:szCs w:val="28"/>
        </w:rPr>
        <w:t>. Tato skutková podstata totiž vyžaduje, aby pachatel „neznal údaje potřebné k určení totožnosti“ osoby, jíž svěřil řízení vozidla, přičemž z dopisu matky Sáry ze dne 29.7.2019 vyplývá opak.</w:t>
      </w:r>
    </w:p>
    <w:p w:rsidR="00490EE5" w:rsidRPr="00490EE5" w:rsidRDefault="00490EE5" w:rsidP="00490EE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8"/>
          <w:szCs w:val="28"/>
        </w:rPr>
      </w:pPr>
      <w:r w:rsidRPr="00490EE5">
        <w:rPr>
          <w:rFonts w:ascii="Arial" w:hAnsi="Arial" w:cs="Arial"/>
          <w:sz w:val="28"/>
          <w:szCs w:val="28"/>
        </w:rPr>
        <w:t xml:space="preserve">Nepostupoval. Podle § 95 odst. 2 věta první </w:t>
      </w:r>
      <w:proofErr w:type="spellStart"/>
      <w:r w:rsidRPr="00490EE5">
        <w:rPr>
          <w:rFonts w:ascii="Arial" w:hAnsi="Arial" w:cs="Arial"/>
          <w:sz w:val="28"/>
          <w:szCs w:val="28"/>
        </w:rPr>
        <w:t>SprŘ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 měl provést přezkumné řízení a rozhodnutí (příkaz) zrušit v </w:t>
      </w:r>
      <w:proofErr w:type="spellStart"/>
      <w:r w:rsidRPr="00490EE5">
        <w:rPr>
          <w:rFonts w:ascii="Arial" w:hAnsi="Arial" w:cs="Arial"/>
          <w:sz w:val="28"/>
          <w:szCs w:val="28"/>
        </w:rPr>
        <w:t>autoremeduře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, popřípadě (tzn. variantně) podle § 95 odst. 2 věta druhá </w:t>
      </w:r>
      <w:proofErr w:type="spellStart"/>
      <w:r w:rsidRPr="00490EE5">
        <w:rPr>
          <w:rFonts w:ascii="Arial" w:hAnsi="Arial" w:cs="Arial"/>
          <w:sz w:val="28"/>
          <w:szCs w:val="28"/>
        </w:rPr>
        <w:t>SprŘ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 měl věc (podnět) předat k provedení přezkumnému řízení nadřízenému správnímu orgánu.</w:t>
      </w:r>
    </w:p>
    <w:p w:rsidR="00490EE5" w:rsidRPr="00490EE5" w:rsidRDefault="00490EE5" w:rsidP="00490EE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490EE5">
        <w:rPr>
          <w:rFonts w:ascii="Arial" w:hAnsi="Arial" w:cs="Arial"/>
          <w:sz w:val="28"/>
          <w:szCs w:val="28"/>
        </w:rPr>
        <w:t xml:space="preserve">Měl by žalobu odmítnout podle § 46 odst. 1 písm. d) SŘS, protože žaloba je nepřípustná. </w:t>
      </w:r>
      <w:r w:rsidRPr="00490EE5">
        <w:rPr>
          <w:rFonts w:ascii="Arial" w:hAnsi="Arial" w:cs="Arial"/>
          <w:i/>
          <w:sz w:val="28"/>
          <w:szCs w:val="28"/>
        </w:rPr>
        <w:t>Podle § 68 písm. e) SŘS je žaloba nepřípustná, pokud se někdo domáhá přezkoumání rozhodnutí, které je z přezkoumání podle zákona vyloučeno, přičemž podle § 70 písm. a) SŘS (popřípadě podle § 65 odst. 1 SŘS argumentem a contrario) jsou ze soudního přezkoumávání vyloučeny úkony, které nejsou rozhodnutími (srov. rozsudek NSS ze dne 14.2.2008 č. j. 7 As 55/2007-71).</w:t>
      </w:r>
      <w:r w:rsidRPr="00490EE5">
        <w:rPr>
          <w:rFonts w:ascii="Arial" w:hAnsi="Arial" w:cs="Arial"/>
          <w:sz w:val="28"/>
          <w:szCs w:val="28"/>
        </w:rPr>
        <w:t xml:space="preserve"> Sdělení správního orgánu podle § 94 odst. 1 </w:t>
      </w:r>
      <w:proofErr w:type="spellStart"/>
      <w:r w:rsidRPr="00490EE5">
        <w:rPr>
          <w:rFonts w:ascii="Arial" w:hAnsi="Arial" w:cs="Arial"/>
          <w:sz w:val="28"/>
          <w:szCs w:val="28"/>
        </w:rPr>
        <w:t>SprŘ</w:t>
      </w:r>
      <w:proofErr w:type="spellEnd"/>
      <w:r w:rsidRPr="00490EE5">
        <w:rPr>
          <w:rFonts w:ascii="Arial" w:hAnsi="Arial" w:cs="Arial"/>
          <w:sz w:val="28"/>
          <w:szCs w:val="28"/>
        </w:rPr>
        <w:t xml:space="preserve"> o tom, že neshledal důvody k zahájení přezkum</w:t>
      </w:r>
      <w:r w:rsidRPr="00490EE5">
        <w:rPr>
          <w:rFonts w:ascii="Arial" w:hAnsi="Arial" w:cs="Arial"/>
          <w:noProof/>
          <w:sz w:val="28"/>
          <w:szCs w:val="28"/>
        </w:rPr>
        <w:t xml:space="preserve">ného řízení, není rozhodnutím ve smyslu § 65 odst. 1 SŘS. </w:t>
      </w:r>
    </w:p>
    <w:p w:rsidR="00490EE5" w:rsidRPr="00490EE5" w:rsidRDefault="00490EE5" w:rsidP="00490EE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490EE5">
        <w:rPr>
          <w:rFonts w:ascii="Arial" w:hAnsi="Arial" w:cs="Arial"/>
          <w:noProof/>
          <w:sz w:val="28"/>
          <w:szCs w:val="28"/>
        </w:rPr>
        <w:t xml:space="preserve">Exekuční výzvu, která je úkonem podle správního řádu (§ 109), nebylo možné vydat, protože na vymáhání pokuty (= peněžitého plnění) se postup podle správního řádu nevztahuje (viz jeho § 106 odst. 3). Kromě toho by vůbec nebylo možno k exekuci přistoupit, neboť neexistuje exekuční titul podle § 104 písm. a) SprŘ. Obviněná příkazový blok </w:t>
      </w:r>
      <w:r w:rsidRPr="00490EE5">
        <w:rPr>
          <w:rFonts w:ascii="Arial" w:hAnsi="Arial" w:cs="Arial"/>
          <w:noProof/>
          <w:sz w:val="28"/>
          <w:szCs w:val="28"/>
        </w:rPr>
        <w:lastRenderedPageBreak/>
        <w:t xml:space="preserve">nepodepsala a příkaz se nestal vykonatelným rozhodnutím  (§ 92 odst. 1 ZOdpPřes </w:t>
      </w:r>
      <w:r w:rsidRPr="00490EE5">
        <w:rPr>
          <w:rFonts w:ascii="Arial" w:hAnsi="Arial" w:cs="Arial"/>
          <w:i/>
          <w:noProof/>
          <w:sz w:val="28"/>
          <w:szCs w:val="28"/>
        </w:rPr>
        <w:t>a contrario</w:t>
      </w:r>
      <w:r w:rsidRPr="00490EE5">
        <w:rPr>
          <w:rFonts w:ascii="Arial" w:hAnsi="Arial" w:cs="Arial"/>
          <w:noProof/>
          <w:sz w:val="28"/>
          <w:szCs w:val="28"/>
        </w:rPr>
        <w:t>).</w:t>
      </w:r>
    </w:p>
    <w:p w:rsidR="00490EE5" w:rsidRPr="00490EE5" w:rsidRDefault="00490EE5" w:rsidP="00490EE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490EE5">
        <w:rPr>
          <w:rFonts w:ascii="Arial" w:hAnsi="Arial" w:cs="Arial"/>
          <w:noProof/>
          <w:sz w:val="28"/>
          <w:szCs w:val="28"/>
        </w:rPr>
        <w:t>Exekuční výzvu, která je úkonem podle správního řádu (§ 109), nebylo možné vydat, protože na vymáhání pokuty (= peněžitého plnění) se postup podle správního řádu nevztahuje (viz jeho § 106 odst. 3). Kromě toho by vůbec nebylo možno k exekuci přistoupit, neboť neexistuje exekuční titul podle § 104 písm. a) správního řádu. Výzva podle § 125h odst. 1 ZSilProv není rozhodnutím</w:t>
      </w:r>
    </w:p>
    <w:p w:rsidR="00490EE5" w:rsidRPr="00490EE5" w:rsidRDefault="00490EE5" w:rsidP="00490EE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490EE5">
        <w:rPr>
          <w:rFonts w:ascii="Arial" w:eastAsia="Times New Roman" w:hAnsi="Arial" w:cs="Arial"/>
          <w:noProof/>
          <w:sz w:val="28"/>
          <w:szCs w:val="28"/>
          <w:lang w:eastAsia="cs-CZ"/>
        </w:rPr>
        <w:t>Vzhledem k tomu, že šlo o exekuční výzvu vydanou (i když šlo o peněžité plnění) podle správního řádu (§ 109), lze se proti ní bránit námitkami podle § 117 SprŘ.  Exekuční výzva je vydávána formou usnesení, proti němuž se nelze odvolat (§ 109 odst. 2 a 3 SprŘ).</w:t>
      </w:r>
    </w:p>
    <w:p w:rsidR="00490EE5" w:rsidRPr="00490EE5" w:rsidRDefault="00490EE5" w:rsidP="00490EE5">
      <w:pPr>
        <w:jc w:val="both"/>
        <w:rPr>
          <w:rFonts w:ascii="Arial" w:hAnsi="Arial" w:cs="Arial"/>
          <w:sz w:val="28"/>
          <w:szCs w:val="28"/>
        </w:rPr>
      </w:pPr>
    </w:p>
    <w:p w:rsidR="00490EE5" w:rsidRDefault="00490EE5" w:rsidP="00490EE5">
      <w:pPr>
        <w:jc w:val="both"/>
      </w:pPr>
    </w:p>
    <w:p w:rsidR="00490EE5" w:rsidRPr="00490EE5" w:rsidRDefault="00490EE5" w:rsidP="002F0C3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sectPr w:rsidR="00490EE5" w:rsidRPr="0049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04" w:hanging="360"/>
      </w:pPr>
      <w:rPr>
        <w:rFonts w:ascii="Arial" w:hAnsi="Arial"/>
      </w:rPr>
    </w:lvl>
  </w:abstractNum>
  <w:abstractNum w:abstractNumId="2" w15:restartNumberingAfterBreak="0">
    <w:nsid w:val="31A77F04"/>
    <w:multiLevelType w:val="hybridMultilevel"/>
    <w:tmpl w:val="0582A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32C2"/>
    <w:multiLevelType w:val="hybridMultilevel"/>
    <w:tmpl w:val="1DB4D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70AC"/>
    <w:multiLevelType w:val="hybridMultilevel"/>
    <w:tmpl w:val="744613EA"/>
    <w:lvl w:ilvl="0" w:tplc="0602EF92">
      <w:start w:val="1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6C8370C"/>
    <w:multiLevelType w:val="hybridMultilevel"/>
    <w:tmpl w:val="E69EF2CE"/>
    <w:lvl w:ilvl="0" w:tplc="1BFE307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55"/>
    <w:rsid w:val="00005900"/>
    <w:rsid w:val="000168EF"/>
    <w:rsid w:val="00026E57"/>
    <w:rsid w:val="00045C4F"/>
    <w:rsid w:val="000C3EA6"/>
    <w:rsid w:val="000F2CE6"/>
    <w:rsid w:val="00115CC5"/>
    <w:rsid w:val="00125625"/>
    <w:rsid w:val="00125D91"/>
    <w:rsid w:val="00145438"/>
    <w:rsid w:val="00165E6F"/>
    <w:rsid w:val="00181A01"/>
    <w:rsid w:val="0018319C"/>
    <w:rsid w:val="001B7B9F"/>
    <w:rsid w:val="001C3354"/>
    <w:rsid w:val="001E3283"/>
    <w:rsid w:val="001F5F6A"/>
    <w:rsid w:val="00212941"/>
    <w:rsid w:val="00214DD8"/>
    <w:rsid w:val="00250AEB"/>
    <w:rsid w:val="0025461A"/>
    <w:rsid w:val="002A04DC"/>
    <w:rsid w:val="002A7FCC"/>
    <w:rsid w:val="002B778E"/>
    <w:rsid w:val="002D2D22"/>
    <w:rsid w:val="002F0C37"/>
    <w:rsid w:val="002F1DEF"/>
    <w:rsid w:val="00306882"/>
    <w:rsid w:val="00315471"/>
    <w:rsid w:val="00350036"/>
    <w:rsid w:val="003976AC"/>
    <w:rsid w:val="00397C1C"/>
    <w:rsid w:val="003C01FB"/>
    <w:rsid w:val="003F7F78"/>
    <w:rsid w:val="00404BD2"/>
    <w:rsid w:val="00455389"/>
    <w:rsid w:val="004557CC"/>
    <w:rsid w:val="004763B3"/>
    <w:rsid w:val="00485AEE"/>
    <w:rsid w:val="0048622B"/>
    <w:rsid w:val="00490EE5"/>
    <w:rsid w:val="00491FE2"/>
    <w:rsid w:val="004E340F"/>
    <w:rsid w:val="004E6566"/>
    <w:rsid w:val="004F61C7"/>
    <w:rsid w:val="00512516"/>
    <w:rsid w:val="005537AF"/>
    <w:rsid w:val="00560FA0"/>
    <w:rsid w:val="0058445B"/>
    <w:rsid w:val="005905B1"/>
    <w:rsid w:val="005919C4"/>
    <w:rsid w:val="00596E1D"/>
    <w:rsid w:val="00597300"/>
    <w:rsid w:val="005A100D"/>
    <w:rsid w:val="005B6B2E"/>
    <w:rsid w:val="005C03AF"/>
    <w:rsid w:val="005E0132"/>
    <w:rsid w:val="005F5F55"/>
    <w:rsid w:val="006011BB"/>
    <w:rsid w:val="00635493"/>
    <w:rsid w:val="00664C5C"/>
    <w:rsid w:val="00665873"/>
    <w:rsid w:val="00672A06"/>
    <w:rsid w:val="006762B7"/>
    <w:rsid w:val="00695CBF"/>
    <w:rsid w:val="006C1CD7"/>
    <w:rsid w:val="006D602A"/>
    <w:rsid w:val="006F2199"/>
    <w:rsid w:val="006F24CE"/>
    <w:rsid w:val="007303AF"/>
    <w:rsid w:val="00731DEE"/>
    <w:rsid w:val="00783264"/>
    <w:rsid w:val="007A536C"/>
    <w:rsid w:val="007A7C31"/>
    <w:rsid w:val="007B155B"/>
    <w:rsid w:val="007D7A43"/>
    <w:rsid w:val="007E7BA4"/>
    <w:rsid w:val="00800E91"/>
    <w:rsid w:val="00801858"/>
    <w:rsid w:val="008160F2"/>
    <w:rsid w:val="00816117"/>
    <w:rsid w:val="00816C4B"/>
    <w:rsid w:val="00817A95"/>
    <w:rsid w:val="00844DB9"/>
    <w:rsid w:val="008D19B5"/>
    <w:rsid w:val="008D27A1"/>
    <w:rsid w:val="008E453F"/>
    <w:rsid w:val="00922739"/>
    <w:rsid w:val="00926C9D"/>
    <w:rsid w:val="00935C5B"/>
    <w:rsid w:val="009707ED"/>
    <w:rsid w:val="00974F96"/>
    <w:rsid w:val="009A6826"/>
    <w:rsid w:val="009C2933"/>
    <w:rsid w:val="009C3CFA"/>
    <w:rsid w:val="009D49F5"/>
    <w:rsid w:val="009E1DA4"/>
    <w:rsid w:val="00A10F08"/>
    <w:rsid w:val="00A24E3F"/>
    <w:rsid w:val="00A31777"/>
    <w:rsid w:val="00AA53A1"/>
    <w:rsid w:val="00B15201"/>
    <w:rsid w:val="00B433E4"/>
    <w:rsid w:val="00B548B5"/>
    <w:rsid w:val="00B63169"/>
    <w:rsid w:val="00BB6D85"/>
    <w:rsid w:val="00BB7C28"/>
    <w:rsid w:val="00BC34AA"/>
    <w:rsid w:val="00BC5DA8"/>
    <w:rsid w:val="00BC5DC5"/>
    <w:rsid w:val="00BC6375"/>
    <w:rsid w:val="00BE1B57"/>
    <w:rsid w:val="00C01215"/>
    <w:rsid w:val="00C1316E"/>
    <w:rsid w:val="00C1644D"/>
    <w:rsid w:val="00C1745C"/>
    <w:rsid w:val="00C84A2F"/>
    <w:rsid w:val="00C86A24"/>
    <w:rsid w:val="00C91615"/>
    <w:rsid w:val="00C93F2A"/>
    <w:rsid w:val="00CB73D9"/>
    <w:rsid w:val="00CD00A6"/>
    <w:rsid w:val="00CD185D"/>
    <w:rsid w:val="00CD6141"/>
    <w:rsid w:val="00CD64FA"/>
    <w:rsid w:val="00CF4D6E"/>
    <w:rsid w:val="00D01D57"/>
    <w:rsid w:val="00D02A81"/>
    <w:rsid w:val="00D05FEA"/>
    <w:rsid w:val="00D44700"/>
    <w:rsid w:val="00D77D6F"/>
    <w:rsid w:val="00DA4D17"/>
    <w:rsid w:val="00DA588E"/>
    <w:rsid w:val="00DB00F8"/>
    <w:rsid w:val="00DF0DD1"/>
    <w:rsid w:val="00DF75CB"/>
    <w:rsid w:val="00E623A0"/>
    <w:rsid w:val="00E7771C"/>
    <w:rsid w:val="00EB4115"/>
    <w:rsid w:val="00EF1A3E"/>
    <w:rsid w:val="00F024F9"/>
    <w:rsid w:val="00F03383"/>
    <w:rsid w:val="00F05CD9"/>
    <w:rsid w:val="00F21119"/>
    <w:rsid w:val="00F22A9E"/>
    <w:rsid w:val="00F22B4F"/>
    <w:rsid w:val="00F52779"/>
    <w:rsid w:val="00F71A84"/>
    <w:rsid w:val="00F86EAE"/>
    <w:rsid w:val="00FB3CD7"/>
    <w:rsid w:val="00FB77C0"/>
    <w:rsid w:val="00FC2434"/>
    <w:rsid w:val="00FD7F87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10DA4-7912-4956-A417-32E8629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9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01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2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2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215"/>
    <w:rPr>
      <w:b/>
      <w:bCs/>
      <w:sz w:val="20"/>
      <w:szCs w:val="20"/>
    </w:rPr>
  </w:style>
  <w:style w:type="paragraph" w:customStyle="1" w:styleId="Odstavecseseznamem1">
    <w:name w:val="Odstavec se seznamem1"/>
    <w:basedOn w:val="Normln"/>
    <w:rsid w:val="00B433E4"/>
    <w:pPr>
      <w:suppressAutoHyphens/>
      <w:spacing w:after="240" w:line="240" w:lineRule="auto"/>
      <w:ind w:left="720"/>
    </w:pPr>
    <w:rPr>
      <w:rFonts w:ascii="Arial" w:eastAsia="Times New Roman" w:hAnsi="Arial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FB51-8A64-40F0-9B89-5ABFF7B0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</dc:creator>
  <cp:lastModifiedBy>Eva Preclikova</cp:lastModifiedBy>
  <cp:revision>2</cp:revision>
  <cp:lastPrinted>2014-04-24T05:36:00Z</cp:lastPrinted>
  <dcterms:created xsi:type="dcterms:W3CDTF">2020-06-10T07:27:00Z</dcterms:created>
  <dcterms:modified xsi:type="dcterms:W3CDTF">2020-06-10T07:27:00Z</dcterms:modified>
</cp:coreProperties>
</file>